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95" w:rsidRDefault="00094495" w:rsidP="00094495">
      <w:pPr>
        <w:shd w:val="clear" w:color="auto" w:fill="FFFFFF"/>
        <w:spacing w:after="0" w:line="240" w:lineRule="auto"/>
        <w:jc w:val="center"/>
        <w:rPr>
          <w:rFonts w:ascii="Times New Roman" w:eastAsia="Times New Roman" w:hAnsi="Times New Roman" w:cs="Times New Roman"/>
          <w:color w:val="000000"/>
          <w:sz w:val="20"/>
          <w:szCs w:val="20"/>
          <w:lang w:eastAsia="en-029"/>
        </w:rPr>
      </w:pPr>
      <w:r>
        <w:rPr>
          <w:noProof/>
          <w:lang w:val="en-US"/>
        </w:rPr>
        <w:drawing>
          <wp:inline distT="0" distB="0" distL="0" distR="0">
            <wp:extent cx="1295400" cy="1295400"/>
            <wp:effectExtent l="19050" t="0" r="0" b="0"/>
            <wp:docPr id="10" name="Picture 1" descr="Logo SHHGG Lis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HHGG Lissade"/>
                    <pic:cNvPicPr>
                      <a:picLocks noChangeAspect="1" noChangeArrowheads="1"/>
                    </pic:cNvPicPr>
                  </pic:nvPicPr>
                  <pic:blipFill>
                    <a:blip r:embed="rId5" cstate="print"/>
                    <a:srcRect/>
                    <a:stretch>
                      <a:fillRect/>
                    </a:stretch>
                  </pic:blipFill>
                  <pic:spPr bwMode="auto">
                    <a:xfrm>
                      <a:off x="0" y="0"/>
                      <a:ext cx="1295400" cy="1295400"/>
                    </a:xfrm>
                    <a:prstGeom prst="rect">
                      <a:avLst/>
                    </a:prstGeom>
                    <a:noFill/>
                    <a:ln w="9525">
                      <a:noFill/>
                      <a:miter lim="800000"/>
                      <a:headEnd/>
                      <a:tailEnd/>
                    </a:ln>
                  </pic:spPr>
                </pic:pic>
              </a:graphicData>
            </a:graphic>
          </wp:inline>
        </w:drawing>
      </w:r>
    </w:p>
    <w:p w:rsidR="00094495" w:rsidRPr="008B18A1" w:rsidRDefault="00094495" w:rsidP="00094495">
      <w:pPr>
        <w:ind w:firstLine="720"/>
        <w:jc w:val="both"/>
        <w:rPr>
          <w:rFonts w:ascii="Times New Roman" w:hAnsi="Times New Roman" w:cs="Times New Roman"/>
          <w:b/>
          <w:sz w:val="24"/>
          <w:szCs w:val="24"/>
        </w:rPr>
      </w:pPr>
      <w:r w:rsidRPr="008B18A1">
        <w:rPr>
          <w:rFonts w:ascii="Times New Roman" w:hAnsi="Times New Roman" w:cs="Times New Roman"/>
          <w:b/>
          <w:sz w:val="24"/>
          <w:szCs w:val="24"/>
        </w:rPr>
        <w:t>SOCIETE HAITIENNE D’HISTOIRE, DE GEOGRAPHIE ET DE GEOLOGIE</w:t>
      </w:r>
    </w:p>
    <w:p w:rsidR="00094495" w:rsidRDefault="00094495" w:rsidP="00094495">
      <w:pPr>
        <w:ind w:left="2160" w:firstLine="720"/>
        <w:jc w:val="both"/>
        <w:rPr>
          <w:rFonts w:ascii="Times New Roman" w:hAnsi="Times New Roman" w:cs="Times New Roman"/>
          <w:b/>
          <w:sz w:val="28"/>
          <w:szCs w:val="28"/>
        </w:rPr>
      </w:pPr>
    </w:p>
    <w:p w:rsidR="00094495" w:rsidRDefault="00094495" w:rsidP="00094495">
      <w:pPr>
        <w:ind w:left="2160" w:firstLine="720"/>
        <w:jc w:val="both"/>
        <w:rPr>
          <w:rFonts w:ascii="Times New Roman" w:hAnsi="Times New Roman" w:cs="Times New Roman"/>
          <w:b/>
          <w:sz w:val="28"/>
          <w:szCs w:val="28"/>
        </w:rPr>
      </w:pPr>
    </w:p>
    <w:p w:rsidR="00094495" w:rsidRPr="00822766" w:rsidRDefault="00094495" w:rsidP="00094495">
      <w:pPr>
        <w:ind w:left="2160" w:firstLine="720"/>
        <w:jc w:val="both"/>
        <w:rPr>
          <w:rFonts w:ascii="Times New Roman" w:hAnsi="Times New Roman" w:cs="Times New Roman"/>
          <w:b/>
          <w:sz w:val="28"/>
          <w:szCs w:val="28"/>
        </w:rPr>
      </w:pPr>
      <w:r w:rsidRPr="00822766">
        <w:rPr>
          <w:rFonts w:ascii="Times New Roman" w:hAnsi="Times New Roman" w:cs="Times New Roman"/>
          <w:b/>
          <w:sz w:val="28"/>
          <w:szCs w:val="28"/>
        </w:rPr>
        <w:t>APPEL À COMMUNICATION</w:t>
      </w:r>
    </w:p>
    <w:p w:rsidR="00094495" w:rsidRPr="00491599" w:rsidRDefault="00094495" w:rsidP="00094495">
      <w:pPr>
        <w:ind w:left="1440"/>
        <w:jc w:val="both"/>
        <w:rPr>
          <w:rFonts w:ascii="Times New Roman" w:hAnsi="Times New Roman" w:cs="Times New Roman"/>
          <w:b/>
        </w:rPr>
      </w:pPr>
      <w:r>
        <w:rPr>
          <w:rFonts w:ascii="Times New Roman" w:hAnsi="Times New Roman" w:cs="Times New Roman"/>
          <w:b/>
        </w:rPr>
        <w:t>COLLOQUE INTERNATIONAL DU 15 AU 17</w:t>
      </w:r>
      <w:r w:rsidRPr="00491599">
        <w:rPr>
          <w:rFonts w:ascii="Times New Roman" w:hAnsi="Times New Roman" w:cs="Times New Roman"/>
          <w:b/>
        </w:rPr>
        <w:t xml:space="preserve"> DECEMBRE 2016</w:t>
      </w:r>
    </w:p>
    <w:p w:rsidR="00094495" w:rsidRPr="00822766" w:rsidRDefault="00094495" w:rsidP="00094495">
      <w:pPr>
        <w:ind w:left="1440" w:firstLine="720"/>
        <w:jc w:val="both"/>
        <w:rPr>
          <w:rFonts w:ascii="Times New Roman" w:hAnsi="Times New Roman" w:cs="Times New Roman"/>
          <w:b/>
          <w:sz w:val="28"/>
          <w:szCs w:val="28"/>
        </w:rPr>
      </w:pPr>
      <w:r w:rsidRPr="00822766">
        <w:rPr>
          <w:rFonts w:ascii="Times New Roman" w:hAnsi="Times New Roman" w:cs="Times New Roman"/>
          <w:b/>
          <w:sz w:val="28"/>
          <w:szCs w:val="28"/>
        </w:rPr>
        <w:t>L’occupation américaine d’Haïti (1915-1934)</w:t>
      </w:r>
    </w:p>
    <w:p w:rsidR="00094495" w:rsidRDefault="00094495" w:rsidP="00094495">
      <w:pPr>
        <w:ind w:left="2160" w:firstLine="720"/>
        <w:jc w:val="both"/>
        <w:rPr>
          <w:rFonts w:ascii="Times New Roman" w:hAnsi="Times New Roman" w:cs="Times New Roman"/>
          <w:b/>
          <w:sz w:val="28"/>
          <w:szCs w:val="28"/>
        </w:rPr>
      </w:pPr>
      <w:r>
        <w:rPr>
          <w:rFonts w:ascii="Times New Roman" w:hAnsi="Times New Roman" w:cs="Times New Roman"/>
          <w:b/>
          <w:sz w:val="28"/>
          <w:szCs w:val="28"/>
        </w:rPr>
        <w:t>Repères, Ruptures et Continuités</w:t>
      </w:r>
    </w:p>
    <w:p w:rsidR="00094495" w:rsidRPr="00822766" w:rsidRDefault="00094495" w:rsidP="00094495">
      <w:pPr>
        <w:ind w:left="1440" w:firstLine="720"/>
        <w:jc w:val="both"/>
        <w:rPr>
          <w:rFonts w:ascii="Times New Roman" w:hAnsi="Times New Roman" w:cs="Times New Roman"/>
          <w:b/>
          <w:sz w:val="28"/>
          <w:szCs w:val="28"/>
        </w:rPr>
      </w:pPr>
    </w:p>
    <w:p w:rsidR="00094495" w:rsidRPr="00491599" w:rsidRDefault="00094495" w:rsidP="00094495">
      <w:pPr>
        <w:pStyle w:val="ListParagraph"/>
        <w:numPr>
          <w:ilvl w:val="0"/>
          <w:numId w:val="2"/>
        </w:numPr>
        <w:jc w:val="both"/>
        <w:rPr>
          <w:rFonts w:ascii="Times New Roman" w:hAnsi="Times New Roman" w:cs="Times New Roman"/>
          <w:sz w:val="28"/>
          <w:szCs w:val="28"/>
        </w:rPr>
      </w:pPr>
      <w:r w:rsidRPr="00150E20">
        <w:rPr>
          <w:rFonts w:ascii="Times New Roman" w:hAnsi="Times New Roman" w:cs="Times New Roman"/>
          <w:b/>
          <w:i/>
          <w:sz w:val="28"/>
          <w:szCs w:val="28"/>
        </w:rPr>
        <w:t>Contexte</w:t>
      </w:r>
    </w:p>
    <w:p w:rsidR="00094495" w:rsidRPr="00150E20" w:rsidRDefault="00094495" w:rsidP="00094495">
      <w:pPr>
        <w:jc w:val="both"/>
        <w:rPr>
          <w:rFonts w:ascii="Times New Roman" w:hAnsi="Times New Roman" w:cs="Times New Roman"/>
          <w:sz w:val="28"/>
          <w:szCs w:val="28"/>
        </w:rPr>
      </w:pPr>
      <w:r w:rsidRPr="00150E20">
        <w:rPr>
          <w:rFonts w:ascii="Times New Roman" w:hAnsi="Times New Roman" w:cs="Times New Roman"/>
          <w:sz w:val="28"/>
          <w:szCs w:val="28"/>
        </w:rPr>
        <w:t>Le 17 décembre 2014, la Société haïtienne d’Histoire, de Géographie et de Géologie procédait, à travers un comité national constitué à cet effet, au lancement officiel d’un programme d’activités de remémoration du centenaire de l’occupation américaine d’Haïti.</w:t>
      </w:r>
    </w:p>
    <w:p w:rsidR="00094495" w:rsidRPr="00822766" w:rsidRDefault="00094495" w:rsidP="00094495">
      <w:pPr>
        <w:jc w:val="both"/>
        <w:rPr>
          <w:rFonts w:ascii="Times New Roman" w:eastAsiaTheme="minorHAnsi" w:hAnsi="Times New Roman" w:cs="Times New Roman"/>
          <w:sz w:val="28"/>
          <w:szCs w:val="28"/>
          <w:lang w:eastAsia="ja-JP"/>
        </w:rPr>
      </w:pPr>
      <w:r w:rsidRPr="00822766">
        <w:rPr>
          <w:rFonts w:ascii="Times New Roman" w:hAnsi="Times New Roman" w:cs="Times New Roman"/>
          <w:sz w:val="28"/>
          <w:szCs w:val="28"/>
        </w:rPr>
        <w:t>Cette occupation, qui a duré  environ dix-neuf ans (1915-1934), a laissé des traces profondes  dans l’Haïti d’aujourd’hui. L’esprit de ce programme d’activit</w:t>
      </w:r>
      <w:r w:rsidRPr="00822766">
        <w:rPr>
          <w:rFonts w:ascii="Times New Roman" w:eastAsiaTheme="minorHAnsi" w:hAnsi="Times New Roman" w:cs="Times New Roman"/>
          <w:sz w:val="28"/>
          <w:szCs w:val="28"/>
          <w:lang w:eastAsia="ja-JP"/>
        </w:rPr>
        <w:t>és a été formulé dans un texte présenté le jour du lancement et qui accompagne cet appel à  communication (ci-joint, texte).Il s’agit avant tout d’un travail de mémoire visant à une  meilleure connexion  des jeunes générations avec leur passé puisqu’un siècle s’est déjà écoulé depuis le débarquement des « marines » américains sur  le territoire national.</w:t>
      </w:r>
    </w:p>
    <w:p w:rsidR="00094495" w:rsidRPr="00822766" w:rsidRDefault="00094495" w:rsidP="00094495">
      <w:pPr>
        <w:jc w:val="both"/>
        <w:rPr>
          <w:rFonts w:ascii="Times New Roman" w:hAnsi="Times New Roman" w:cs="Times New Roman"/>
          <w:sz w:val="28"/>
          <w:szCs w:val="28"/>
        </w:rPr>
      </w:pPr>
      <w:r w:rsidRPr="00822766">
        <w:rPr>
          <w:rFonts w:ascii="Times New Roman" w:eastAsiaTheme="minorHAnsi" w:hAnsi="Times New Roman" w:cs="Times New Roman"/>
          <w:sz w:val="28"/>
          <w:szCs w:val="28"/>
          <w:lang w:eastAsia="ja-JP"/>
        </w:rPr>
        <w:t xml:space="preserve">Le programme d’activités, préparé dans la perspective de la remémoration du centenaire de l’occupation américaine d’Haïti,  consigne des activités allant du 28 juillet 2015, jour du centenaire du débarquement des marines sur le sol national, à </w:t>
      </w:r>
      <w:r w:rsidRPr="00822766">
        <w:rPr>
          <w:rFonts w:ascii="Times New Roman" w:eastAsiaTheme="minorHAnsi" w:hAnsi="Times New Roman" w:cs="Times New Roman"/>
          <w:sz w:val="28"/>
          <w:szCs w:val="28"/>
          <w:lang w:eastAsia="ja-JP"/>
        </w:rPr>
        <w:lastRenderedPageBreak/>
        <w:t xml:space="preserve">l’organisation du colloque </w:t>
      </w:r>
      <w:r w:rsidRPr="00822766">
        <w:rPr>
          <w:rFonts w:ascii="Times New Roman" w:hAnsi="Times New Roman" w:cs="Times New Roman"/>
          <w:b/>
          <w:sz w:val="28"/>
          <w:szCs w:val="28"/>
        </w:rPr>
        <w:t>L’occupation américaine d’Haïti (1915-1934).</w:t>
      </w:r>
      <w:r>
        <w:rPr>
          <w:rFonts w:ascii="Times New Roman" w:hAnsi="Times New Roman" w:cs="Times New Roman"/>
          <w:b/>
          <w:sz w:val="28"/>
          <w:szCs w:val="28"/>
        </w:rPr>
        <w:t xml:space="preserve"> Repères  Ruptures et Continuités</w:t>
      </w:r>
      <w:r>
        <w:rPr>
          <w:rFonts w:ascii="Times New Roman" w:hAnsi="Times New Roman" w:cs="Times New Roman"/>
          <w:sz w:val="28"/>
          <w:szCs w:val="28"/>
        </w:rPr>
        <w:t>, les 15, 16 et 17</w:t>
      </w:r>
      <w:r w:rsidRPr="00822766">
        <w:rPr>
          <w:rFonts w:ascii="Times New Roman" w:hAnsi="Times New Roman" w:cs="Times New Roman"/>
          <w:sz w:val="28"/>
          <w:szCs w:val="28"/>
        </w:rPr>
        <w:t xml:space="preserve"> décembre 2106.</w:t>
      </w:r>
    </w:p>
    <w:p w:rsidR="00094495" w:rsidRPr="00822766" w:rsidRDefault="00094495" w:rsidP="00094495">
      <w:pPr>
        <w:jc w:val="both"/>
        <w:rPr>
          <w:rFonts w:ascii="Times New Roman" w:eastAsiaTheme="minorHAnsi" w:hAnsi="Times New Roman" w:cs="Times New Roman"/>
          <w:sz w:val="28"/>
          <w:szCs w:val="28"/>
          <w:lang w:eastAsia="ja-JP"/>
        </w:rPr>
      </w:pPr>
      <w:r w:rsidRPr="00822766">
        <w:rPr>
          <w:rFonts w:ascii="Times New Roman" w:eastAsiaTheme="minorHAnsi" w:hAnsi="Times New Roman" w:cs="Times New Roman"/>
          <w:sz w:val="28"/>
          <w:szCs w:val="28"/>
          <w:lang w:eastAsia="ja-JP"/>
        </w:rPr>
        <w:t>Haïti n’a pas été le seul</w:t>
      </w:r>
      <w:r>
        <w:rPr>
          <w:rFonts w:ascii="Times New Roman" w:eastAsiaTheme="minorHAnsi" w:hAnsi="Times New Roman" w:cs="Times New Roman"/>
          <w:sz w:val="28"/>
          <w:szCs w:val="28"/>
          <w:lang w:eastAsia="ja-JP"/>
        </w:rPr>
        <w:t xml:space="preserve"> pays</w:t>
      </w:r>
      <w:r w:rsidRPr="00822766">
        <w:rPr>
          <w:rFonts w:ascii="Times New Roman" w:eastAsiaTheme="minorHAnsi" w:hAnsi="Times New Roman" w:cs="Times New Roman"/>
          <w:sz w:val="28"/>
          <w:szCs w:val="28"/>
          <w:lang w:eastAsia="ja-JP"/>
        </w:rPr>
        <w:t xml:space="preserve"> à avoir éprouvé les outrances et les blessures d’une telle occupation. Plusieurs peuples </w:t>
      </w:r>
      <w:proofErr w:type="gramStart"/>
      <w:r w:rsidRPr="00822766">
        <w:rPr>
          <w:rFonts w:ascii="Times New Roman" w:eastAsiaTheme="minorHAnsi" w:hAnsi="Times New Roman" w:cs="Times New Roman"/>
          <w:sz w:val="28"/>
          <w:szCs w:val="28"/>
          <w:lang w:eastAsia="ja-JP"/>
        </w:rPr>
        <w:t>de la</w:t>
      </w:r>
      <w:proofErr w:type="gramEnd"/>
      <w:r w:rsidRPr="00822766">
        <w:rPr>
          <w:rFonts w:ascii="Times New Roman" w:eastAsiaTheme="minorHAnsi" w:hAnsi="Times New Roman" w:cs="Times New Roman"/>
          <w:sz w:val="28"/>
          <w:szCs w:val="28"/>
          <w:lang w:eastAsia="ja-JP"/>
        </w:rPr>
        <w:t xml:space="preserve"> caraïbe et  de cette vaste Amérique ont également été affectés, en ce début de vingtième siècle, par cette brusque expansion de   l’empire nord-américain, qui était, lors, aux tout premiers moments de sa construction.</w:t>
      </w:r>
      <w:r w:rsidRPr="00822766">
        <w:rPr>
          <w:rFonts w:ascii="Times New Roman" w:hAnsi="Times New Roman" w:cs="Times New Roman"/>
          <w:sz w:val="28"/>
          <w:szCs w:val="28"/>
        </w:rPr>
        <w:t xml:space="preserve">  </w:t>
      </w:r>
      <w:r w:rsidRPr="00822766">
        <w:rPr>
          <w:rFonts w:ascii="Times New Roman" w:eastAsiaTheme="minorHAnsi" w:hAnsi="Times New Roman" w:cs="Times New Roman"/>
          <w:sz w:val="28"/>
          <w:szCs w:val="28"/>
          <w:lang w:eastAsia="ja-JP"/>
        </w:rPr>
        <w:t xml:space="preserve">Dans le cas précis d’Haïti, tout un travail de restructuration de la société a eu lieu. Il est cependant acquis que l’occupant n’a pas toujours eu gain de cause dans son projet de façonner la société et l’État haïtiens. </w:t>
      </w:r>
    </w:p>
    <w:p w:rsidR="00094495" w:rsidRPr="00822766" w:rsidRDefault="00094495" w:rsidP="00094495">
      <w:pPr>
        <w:jc w:val="both"/>
        <w:rPr>
          <w:rFonts w:ascii="Times New Roman" w:eastAsiaTheme="minorHAnsi" w:hAnsi="Times New Roman" w:cs="Times New Roman"/>
          <w:sz w:val="28"/>
          <w:szCs w:val="28"/>
          <w:lang w:eastAsia="ja-JP"/>
        </w:rPr>
      </w:pPr>
      <w:r w:rsidRPr="00822766">
        <w:rPr>
          <w:rFonts w:ascii="Times New Roman" w:eastAsiaTheme="minorHAnsi" w:hAnsi="Times New Roman" w:cs="Times New Roman"/>
          <w:sz w:val="28"/>
          <w:szCs w:val="28"/>
          <w:lang w:eastAsia="ja-JP"/>
        </w:rPr>
        <w:t xml:space="preserve">Aussi, cette rencontre reste-t-elle ouverte à tous les milieux académiques et intellectuels haïtiens profondément préoccupés par l’évolution de leur pays, aussi bien  par son passé, surtout le plus récent, que par son devenir. Elle demeure encore largement ouverte à tous les peuples de la région  et à l’ensemble des milieux des chercheurs du sous-continent et de l’Amérique du Nord liés, en dépit de leur destin respectif, par une histoire commune et séculaire et qui ont subi d’importantes mutations depuis cette brutale expansion militaire des Etats-Unis, à l’origine d’un raffermissent plus visible de l’exercice de la domination de cette nation dans la région. </w:t>
      </w:r>
    </w:p>
    <w:p w:rsidR="00094495" w:rsidRPr="00822766" w:rsidRDefault="00094495" w:rsidP="00094495">
      <w:pPr>
        <w:jc w:val="both"/>
        <w:rPr>
          <w:rFonts w:ascii="Times New Roman" w:eastAsiaTheme="minorHAnsi" w:hAnsi="Times New Roman" w:cs="Times New Roman"/>
          <w:sz w:val="28"/>
          <w:szCs w:val="28"/>
          <w:lang w:eastAsia="ja-JP"/>
        </w:rPr>
      </w:pPr>
      <w:r w:rsidRPr="00822766">
        <w:rPr>
          <w:rFonts w:ascii="Times New Roman" w:eastAsiaTheme="minorHAnsi" w:hAnsi="Times New Roman" w:cs="Times New Roman"/>
          <w:sz w:val="28"/>
          <w:szCs w:val="28"/>
          <w:lang w:eastAsia="ja-JP"/>
        </w:rPr>
        <w:t>Le sous-titre proposé pour cette rencontre</w:t>
      </w:r>
      <w:r>
        <w:rPr>
          <w:rFonts w:ascii="Times New Roman" w:eastAsiaTheme="minorHAnsi" w:hAnsi="Times New Roman" w:cs="Times New Roman"/>
          <w:sz w:val="28"/>
          <w:szCs w:val="28"/>
          <w:lang w:eastAsia="ja-JP"/>
        </w:rPr>
        <w:t xml:space="preserve"> </w:t>
      </w:r>
      <w:r w:rsidRPr="00822766">
        <w:rPr>
          <w:rFonts w:ascii="Times New Roman" w:eastAsiaTheme="minorHAnsi" w:hAnsi="Times New Roman" w:cs="Times New Roman"/>
          <w:sz w:val="28"/>
          <w:szCs w:val="28"/>
          <w:lang w:eastAsia="ja-JP"/>
        </w:rPr>
        <w:t>(Les répercussions d’ordre social, économique, politique, démographique et culturel) reflète assez bien l’état d’esprit qu’on entend établir pour sa réussite.  Ce sous-titre devra favoriser et stimuler, nous l’espérons vivement, des thèmes appelés  a mieux nous rapprocher afin de nous redécouvrir par une connaissance plus intime de nous-mêmes et dans le souci, bien entendu, d’assurer une liaison des plus souples entre le local, le régional, et le Global.</w:t>
      </w:r>
    </w:p>
    <w:p w:rsidR="00094495" w:rsidRPr="00822766" w:rsidRDefault="00094495" w:rsidP="00094495">
      <w:pPr>
        <w:jc w:val="both"/>
        <w:rPr>
          <w:rFonts w:ascii="Times New Roman" w:eastAsiaTheme="minorHAnsi" w:hAnsi="Times New Roman" w:cs="Times New Roman"/>
          <w:sz w:val="28"/>
          <w:szCs w:val="28"/>
          <w:lang w:eastAsia="ja-JP"/>
        </w:rPr>
      </w:pPr>
      <w:r w:rsidRPr="00822766">
        <w:rPr>
          <w:rFonts w:ascii="Times New Roman" w:eastAsiaTheme="minorHAnsi" w:hAnsi="Times New Roman" w:cs="Times New Roman"/>
          <w:sz w:val="28"/>
          <w:szCs w:val="28"/>
          <w:lang w:eastAsia="ja-JP"/>
        </w:rPr>
        <w:t xml:space="preserve">La Société Haïtienne d’Histoire, de Géographie et Géologie est bien consciente, en regard de sa vocation, de la place que prendra dans cette rencontre la discipline historique. Toutefois, elle demeure ouverte à des approches interdisciplinaires et à des chercheurs de diverses disciplines dans l’appréhension de l’occupation. </w:t>
      </w:r>
    </w:p>
    <w:p w:rsidR="00094495" w:rsidRDefault="00094495" w:rsidP="00094495">
      <w:pPr>
        <w:tabs>
          <w:tab w:val="left" w:pos="720"/>
        </w:tabs>
        <w:ind w:left="360" w:firstLine="360"/>
        <w:jc w:val="both"/>
        <w:rPr>
          <w:rFonts w:ascii="Times New Roman" w:eastAsiaTheme="minorHAnsi" w:hAnsi="Times New Roman" w:cs="Times New Roman"/>
          <w:b/>
          <w:i/>
          <w:sz w:val="28"/>
          <w:szCs w:val="28"/>
          <w:lang w:eastAsia="ja-JP"/>
        </w:rPr>
      </w:pPr>
    </w:p>
    <w:p w:rsidR="00094495" w:rsidRDefault="00094495" w:rsidP="00094495">
      <w:pPr>
        <w:tabs>
          <w:tab w:val="left" w:pos="720"/>
        </w:tabs>
        <w:ind w:left="360" w:firstLine="360"/>
        <w:jc w:val="both"/>
        <w:rPr>
          <w:rFonts w:ascii="Times New Roman" w:eastAsiaTheme="minorHAnsi" w:hAnsi="Times New Roman" w:cs="Times New Roman"/>
          <w:b/>
          <w:i/>
          <w:sz w:val="28"/>
          <w:szCs w:val="28"/>
          <w:lang w:eastAsia="ja-JP"/>
        </w:rPr>
      </w:pPr>
    </w:p>
    <w:p w:rsidR="00094495" w:rsidRPr="00150E20" w:rsidRDefault="00094495" w:rsidP="00094495">
      <w:pPr>
        <w:tabs>
          <w:tab w:val="left" w:pos="720"/>
        </w:tabs>
        <w:ind w:left="360" w:firstLine="360"/>
        <w:jc w:val="both"/>
        <w:rPr>
          <w:rFonts w:ascii="Times New Roman" w:eastAsiaTheme="minorHAnsi" w:hAnsi="Times New Roman" w:cs="Times New Roman"/>
          <w:b/>
          <w:i/>
          <w:sz w:val="28"/>
          <w:szCs w:val="28"/>
          <w:lang w:eastAsia="ja-JP"/>
        </w:rPr>
      </w:pPr>
      <w:r w:rsidRPr="00150E20">
        <w:rPr>
          <w:rFonts w:ascii="Times New Roman" w:eastAsiaTheme="minorHAnsi" w:hAnsi="Times New Roman" w:cs="Times New Roman"/>
          <w:b/>
          <w:i/>
          <w:sz w:val="28"/>
          <w:szCs w:val="28"/>
          <w:lang w:eastAsia="ja-JP"/>
        </w:rPr>
        <w:lastRenderedPageBreak/>
        <w:t>2. Objectifs du colloque</w:t>
      </w:r>
    </w:p>
    <w:p w:rsidR="00094495" w:rsidRPr="00822766" w:rsidRDefault="00094495" w:rsidP="00094495">
      <w:pPr>
        <w:pStyle w:val="ListParagraph"/>
        <w:jc w:val="both"/>
        <w:rPr>
          <w:rFonts w:ascii="Times New Roman" w:eastAsiaTheme="minorHAnsi" w:hAnsi="Times New Roman" w:cs="Times New Roman"/>
          <w:sz w:val="28"/>
          <w:szCs w:val="28"/>
          <w:lang w:eastAsia="ja-JP"/>
        </w:rPr>
      </w:pPr>
    </w:p>
    <w:p w:rsidR="00094495" w:rsidRPr="00822766" w:rsidRDefault="00094495" w:rsidP="00094495">
      <w:pPr>
        <w:ind w:firstLine="360"/>
        <w:jc w:val="both"/>
        <w:rPr>
          <w:rFonts w:ascii="Times New Roman" w:hAnsi="Times New Roman" w:cs="Times New Roman"/>
          <w:sz w:val="28"/>
          <w:szCs w:val="28"/>
        </w:rPr>
      </w:pPr>
      <w:r w:rsidRPr="00822766">
        <w:rPr>
          <w:rFonts w:ascii="Times New Roman" w:eastAsiaTheme="minorHAnsi" w:hAnsi="Times New Roman" w:cs="Times New Roman"/>
          <w:sz w:val="28"/>
          <w:szCs w:val="28"/>
          <w:lang w:eastAsia="ja-JP"/>
        </w:rPr>
        <w:t xml:space="preserve">C’est pour explorer tant les lieux d’accommodation  que de résistance à l’occupation, et pour améliorer la connaissance de cette occupation, que nous organisons ce colloque intitulé </w:t>
      </w:r>
      <w:r w:rsidRPr="00822766">
        <w:rPr>
          <w:rFonts w:ascii="Times New Roman" w:hAnsi="Times New Roman" w:cs="Times New Roman"/>
          <w:b/>
          <w:sz w:val="28"/>
          <w:szCs w:val="28"/>
        </w:rPr>
        <w:t xml:space="preserve">L’occupation américaine d’Haïti (1915-1934). </w:t>
      </w:r>
      <w:r>
        <w:rPr>
          <w:rFonts w:ascii="Times New Roman" w:hAnsi="Times New Roman" w:cs="Times New Roman"/>
          <w:b/>
          <w:sz w:val="28"/>
          <w:szCs w:val="28"/>
        </w:rPr>
        <w:t xml:space="preserve">Repères Ruptures et Continuités. </w:t>
      </w:r>
      <w:r w:rsidRPr="00822766">
        <w:rPr>
          <w:rFonts w:ascii="Times New Roman" w:eastAsiaTheme="minorHAnsi" w:hAnsi="Times New Roman" w:cs="Times New Roman"/>
          <w:sz w:val="28"/>
          <w:szCs w:val="28"/>
          <w:lang w:eastAsia="ja-JP"/>
        </w:rPr>
        <w:t xml:space="preserve">Ce colloque </w:t>
      </w:r>
      <w:r w:rsidRPr="00822766">
        <w:rPr>
          <w:rFonts w:ascii="Times New Roman" w:hAnsi="Times New Roman" w:cs="Times New Roman"/>
          <w:sz w:val="28"/>
          <w:szCs w:val="28"/>
        </w:rPr>
        <w:t xml:space="preserve">devra rendre compte du façonnement de la société par le fait de l’occupation, à travers l’interaction entre occupants, dirigeants haïtiens et population haïtienne. L’exploration des similarités et </w:t>
      </w:r>
      <w:proofErr w:type="spellStart"/>
      <w:r w:rsidRPr="00822766">
        <w:rPr>
          <w:rFonts w:ascii="Times New Roman" w:hAnsi="Times New Roman" w:cs="Times New Roman"/>
          <w:sz w:val="28"/>
          <w:szCs w:val="28"/>
        </w:rPr>
        <w:t>dissimilarités</w:t>
      </w:r>
      <w:proofErr w:type="spellEnd"/>
      <w:r w:rsidRPr="00822766">
        <w:rPr>
          <w:rFonts w:ascii="Times New Roman" w:hAnsi="Times New Roman" w:cs="Times New Roman"/>
          <w:sz w:val="28"/>
          <w:szCs w:val="28"/>
        </w:rPr>
        <w:t xml:space="preserve"> des modes d’intervention des États-Unis dans le continent et aussi des modes de résistance des populations n’est pas exclue.  Plus spécifiquement, ce colloque vise à :</w:t>
      </w:r>
    </w:p>
    <w:p w:rsidR="00094495" w:rsidRPr="00822766" w:rsidRDefault="00094495" w:rsidP="00094495">
      <w:pPr>
        <w:ind w:firstLine="360"/>
        <w:jc w:val="both"/>
        <w:rPr>
          <w:rFonts w:ascii="Times New Roman" w:hAnsi="Times New Roman" w:cs="Times New Roman"/>
          <w:sz w:val="28"/>
          <w:szCs w:val="28"/>
        </w:rPr>
      </w:pPr>
    </w:p>
    <w:p w:rsidR="00094495" w:rsidRPr="00822766" w:rsidRDefault="00094495" w:rsidP="00094495">
      <w:pPr>
        <w:pStyle w:val="ListParagraph"/>
        <w:numPr>
          <w:ilvl w:val="1"/>
          <w:numId w:val="1"/>
        </w:numPr>
        <w:jc w:val="both"/>
        <w:rPr>
          <w:rFonts w:ascii="Times New Roman" w:hAnsi="Times New Roman" w:cs="Times New Roman"/>
          <w:sz w:val="28"/>
          <w:szCs w:val="28"/>
        </w:rPr>
      </w:pPr>
      <w:r w:rsidRPr="00822766">
        <w:rPr>
          <w:rFonts w:ascii="Times New Roman" w:hAnsi="Times New Roman" w:cs="Times New Roman"/>
          <w:sz w:val="28"/>
          <w:szCs w:val="28"/>
        </w:rPr>
        <w:t>Faire le point sur les changements opérés en Haïti durant l’occupation américaine de ce pays, tant par le dirigisme imposé par cette occupation que par le jeu de la résistance du peuple haïtien et de l’interaction avec d’autres sociétés ;</w:t>
      </w:r>
    </w:p>
    <w:p w:rsidR="00094495" w:rsidRPr="00822766" w:rsidRDefault="00094495" w:rsidP="00094495">
      <w:pPr>
        <w:pStyle w:val="ListParagraph"/>
        <w:numPr>
          <w:ilvl w:val="1"/>
          <w:numId w:val="1"/>
        </w:numPr>
        <w:jc w:val="both"/>
        <w:rPr>
          <w:rFonts w:ascii="Times New Roman" w:hAnsi="Times New Roman" w:cs="Times New Roman"/>
          <w:sz w:val="28"/>
          <w:szCs w:val="28"/>
        </w:rPr>
      </w:pPr>
      <w:r w:rsidRPr="00822766">
        <w:rPr>
          <w:rFonts w:ascii="Times New Roman" w:hAnsi="Times New Roman" w:cs="Times New Roman"/>
          <w:sz w:val="28"/>
          <w:szCs w:val="28"/>
        </w:rPr>
        <w:t>Mettre à la disposition du public les contributions des chercheurs à ce colloque en les réunissant dans une publication, soit les Actes du colloque ;</w:t>
      </w:r>
    </w:p>
    <w:p w:rsidR="00094495" w:rsidRPr="00822766" w:rsidRDefault="00094495" w:rsidP="00094495">
      <w:pPr>
        <w:pStyle w:val="ListParagraph"/>
        <w:ind w:left="2520"/>
        <w:jc w:val="both"/>
        <w:rPr>
          <w:rFonts w:ascii="Times New Roman" w:hAnsi="Times New Roman" w:cs="Times New Roman"/>
          <w:sz w:val="28"/>
          <w:szCs w:val="28"/>
        </w:rPr>
      </w:pPr>
    </w:p>
    <w:p w:rsidR="00094495" w:rsidRPr="00AE42C2" w:rsidRDefault="00094495" w:rsidP="00094495">
      <w:pPr>
        <w:jc w:val="both"/>
        <w:rPr>
          <w:rFonts w:ascii="Times New Roman" w:hAnsi="Times New Roman" w:cs="Times New Roman"/>
          <w:b/>
          <w:i/>
          <w:sz w:val="28"/>
          <w:szCs w:val="28"/>
        </w:rPr>
      </w:pPr>
      <w:r>
        <w:rPr>
          <w:rFonts w:ascii="Times New Roman" w:hAnsi="Times New Roman" w:cs="Times New Roman"/>
          <w:b/>
          <w:i/>
          <w:sz w:val="28"/>
          <w:szCs w:val="28"/>
        </w:rPr>
        <w:t>3.</w:t>
      </w:r>
      <w:r w:rsidRPr="00AE42C2">
        <w:rPr>
          <w:rFonts w:ascii="Times New Roman" w:hAnsi="Times New Roman" w:cs="Times New Roman"/>
          <w:b/>
          <w:i/>
          <w:sz w:val="28"/>
          <w:szCs w:val="28"/>
        </w:rPr>
        <w:t xml:space="preserve"> Thèmes et sous-thèmes</w:t>
      </w:r>
    </w:p>
    <w:p w:rsidR="00094495" w:rsidRPr="00822766" w:rsidRDefault="00094495" w:rsidP="00094495">
      <w:pPr>
        <w:jc w:val="both"/>
        <w:rPr>
          <w:rFonts w:ascii="Times New Roman" w:hAnsi="Times New Roman" w:cs="Times New Roman"/>
          <w:sz w:val="24"/>
          <w:szCs w:val="24"/>
        </w:rPr>
      </w:pPr>
    </w:p>
    <w:p w:rsidR="00094495" w:rsidRPr="00822766" w:rsidRDefault="00094495" w:rsidP="00094495">
      <w:pPr>
        <w:jc w:val="both"/>
        <w:rPr>
          <w:rFonts w:ascii="Times New Roman" w:hAnsi="Times New Roman" w:cs="Times New Roman"/>
          <w:sz w:val="28"/>
          <w:szCs w:val="28"/>
        </w:rPr>
      </w:pPr>
      <w:r>
        <w:rPr>
          <w:rFonts w:ascii="Times New Roman" w:hAnsi="Times New Roman" w:cs="Times New Roman"/>
          <w:sz w:val="28"/>
          <w:szCs w:val="28"/>
        </w:rPr>
        <w:t>A</w:t>
      </w:r>
      <w:r w:rsidRPr="00822766">
        <w:rPr>
          <w:rFonts w:ascii="Times New Roman" w:hAnsi="Times New Roman" w:cs="Times New Roman"/>
          <w:sz w:val="28"/>
          <w:szCs w:val="28"/>
        </w:rPr>
        <w:t>)   Le cadre théorique et pratique de la domination américaine dans la région caraïbe</w:t>
      </w:r>
    </w:p>
    <w:p w:rsidR="00094495" w:rsidRPr="00FC0DD5" w:rsidRDefault="00094495" w:rsidP="00094495">
      <w:pPr>
        <w:jc w:val="both"/>
        <w:rPr>
          <w:rFonts w:ascii="Times New Roman" w:hAnsi="Times New Roman" w:cs="Times New Roman"/>
          <w:sz w:val="28"/>
          <w:szCs w:val="28"/>
        </w:rPr>
      </w:pPr>
      <w:r w:rsidRPr="00FC0DD5">
        <w:rPr>
          <w:rFonts w:ascii="Times New Roman" w:hAnsi="Times New Roman" w:cs="Times New Roman"/>
          <w:sz w:val="28"/>
          <w:szCs w:val="28"/>
        </w:rPr>
        <w:t>Sous-thème I : Contexte International (La première guerre mondiale)</w:t>
      </w:r>
    </w:p>
    <w:p w:rsidR="00094495" w:rsidRPr="00FC0DD5" w:rsidRDefault="00094495" w:rsidP="00094495">
      <w:pPr>
        <w:jc w:val="both"/>
        <w:rPr>
          <w:rFonts w:ascii="Times New Roman" w:hAnsi="Times New Roman" w:cs="Times New Roman"/>
          <w:sz w:val="28"/>
          <w:szCs w:val="28"/>
        </w:rPr>
      </w:pPr>
      <w:r w:rsidRPr="00FC0DD5">
        <w:rPr>
          <w:rFonts w:ascii="Times New Roman" w:hAnsi="Times New Roman" w:cs="Times New Roman"/>
          <w:sz w:val="28"/>
          <w:szCs w:val="28"/>
        </w:rPr>
        <w:t>Sous-thème II : La ligne géostratégique nord-américaine depuis la déclaration Monroe</w:t>
      </w:r>
    </w:p>
    <w:p w:rsidR="00094495" w:rsidRPr="00531A44" w:rsidRDefault="00094495" w:rsidP="00094495">
      <w:pPr>
        <w:jc w:val="both"/>
        <w:rPr>
          <w:rFonts w:ascii="Times New Roman" w:hAnsi="Times New Roman" w:cs="Times New Roman"/>
          <w:sz w:val="28"/>
          <w:szCs w:val="28"/>
        </w:rPr>
      </w:pPr>
      <w:r>
        <w:rPr>
          <w:rFonts w:ascii="Times New Roman" w:hAnsi="Times New Roman" w:cs="Times New Roman"/>
          <w:sz w:val="28"/>
          <w:szCs w:val="28"/>
        </w:rPr>
        <w:t>Sous-thème III : C</w:t>
      </w:r>
      <w:r w:rsidRPr="00531A44">
        <w:rPr>
          <w:rFonts w:ascii="Times New Roman" w:hAnsi="Times New Roman" w:cs="Times New Roman"/>
          <w:sz w:val="28"/>
          <w:szCs w:val="28"/>
        </w:rPr>
        <w:t>onvergence</w:t>
      </w:r>
      <w:r>
        <w:rPr>
          <w:rFonts w:ascii="Times New Roman" w:hAnsi="Times New Roman" w:cs="Times New Roman"/>
          <w:sz w:val="28"/>
          <w:szCs w:val="28"/>
        </w:rPr>
        <w:t>s</w:t>
      </w:r>
      <w:r w:rsidRPr="00531A44">
        <w:rPr>
          <w:rFonts w:ascii="Times New Roman" w:hAnsi="Times New Roman" w:cs="Times New Roman"/>
          <w:sz w:val="28"/>
          <w:szCs w:val="28"/>
        </w:rPr>
        <w:t xml:space="preserve"> et divergence</w:t>
      </w:r>
      <w:r>
        <w:rPr>
          <w:rFonts w:ascii="Times New Roman" w:hAnsi="Times New Roman" w:cs="Times New Roman"/>
          <w:sz w:val="28"/>
          <w:szCs w:val="28"/>
        </w:rPr>
        <w:t>s</w:t>
      </w:r>
      <w:r w:rsidRPr="00531A44">
        <w:rPr>
          <w:rFonts w:ascii="Times New Roman" w:hAnsi="Times New Roman" w:cs="Times New Roman"/>
          <w:sz w:val="28"/>
          <w:szCs w:val="28"/>
        </w:rPr>
        <w:t xml:space="preserve"> de l’application </w:t>
      </w:r>
      <w:r>
        <w:rPr>
          <w:rFonts w:ascii="Times New Roman" w:hAnsi="Times New Roman" w:cs="Times New Roman"/>
          <w:sz w:val="28"/>
          <w:szCs w:val="28"/>
        </w:rPr>
        <w:t xml:space="preserve">de la doctrine Monroe </w:t>
      </w:r>
      <w:r w:rsidRPr="00531A44">
        <w:rPr>
          <w:rFonts w:ascii="Times New Roman" w:hAnsi="Times New Roman" w:cs="Times New Roman"/>
          <w:sz w:val="28"/>
          <w:szCs w:val="28"/>
        </w:rPr>
        <w:t>dans les</w:t>
      </w:r>
      <w:r>
        <w:rPr>
          <w:rFonts w:ascii="Times New Roman" w:hAnsi="Times New Roman" w:cs="Times New Roman"/>
          <w:sz w:val="28"/>
          <w:szCs w:val="28"/>
        </w:rPr>
        <w:t xml:space="preserve"> pays Caraïbe</w:t>
      </w:r>
      <w:r w:rsidRPr="00531A44">
        <w:rPr>
          <w:rFonts w:ascii="Times New Roman" w:hAnsi="Times New Roman" w:cs="Times New Roman"/>
          <w:sz w:val="28"/>
          <w:szCs w:val="28"/>
        </w:rPr>
        <w:t xml:space="preserve">s et Latino-Américains. </w:t>
      </w:r>
    </w:p>
    <w:p w:rsidR="00094495" w:rsidRPr="00AE42C2" w:rsidRDefault="00094495" w:rsidP="00094495">
      <w:pPr>
        <w:jc w:val="both"/>
        <w:rPr>
          <w:rFonts w:ascii="Times New Roman" w:hAnsi="Times New Roman" w:cs="Times New Roman"/>
          <w:sz w:val="28"/>
          <w:szCs w:val="28"/>
        </w:rPr>
      </w:pPr>
      <w:r>
        <w:rPr>
          <w:rFonts w:ascii="Times New Roman" w:hAnsi="Times New Roman" w:cs="Times New Roman"/>
          <w:sz w:val="28"/>
          <w:szCs w:val="28"/>
        </w:rPr>
        <w:lastRenderedPageBreak/>
        <w:t>Sous-thème IV</w:t>
      </w:r>
      <w:r w:rsidRPr="00531A44">
        <w:rPr>
          <w:rFonts w:ascii="Times New Roman" w:hAnsi="Times New Roman" w:cs="Times New Roman"/>
          <w:sz w:val="28"/>
          <w:szCs w:val="28"/>
        </w:rPr>
        <w:t xml:space="preserve"> : Les rivalités entre les États-Unis et les grandes puissances européennes déjà implantées dans le territoire occupé par les États-Unis. </w:t>
      </w:r>
    </w:p>
    <w:p w:rsidR="00094495" w:rsidRPr="00822766" w:rsidRDefault="00094495" w:rsidP="00094495">
      <w:pPr>
        <w:jc w:val="both"/>
        <w:rPr>
          <w:rFonts w:ascii="Times New Roman" w:hAnsi="Times New Roman" w:cs="Times New Roman"/>
          <w:sz w:val="28"/>
          <w:szCs w:val="28"/>
        </w:rPr>
      </w:pPr>
      <w:r>
        <w:rPr>
          <w:rFonts w:ascii="Times New Roman" w:hAnsi="Times New Roman" w:cs="Times New Roman"/>
          <w:sz w:val="28"/>
          <w:szCs w:val="28"/>
        </w:rPr>
        <w:t>B</w:t>
      </w:r>
      <w:r w:rsidRPr="00822766">
        <w:rPr>
          <w:rFonts w:ascii="Times New Roman" w:hAnsi="Times New Roman" w:cs="Times New Roman"/>
          <w:sz w:val="28"/>
          <w:szCs w:val="28"/>
        </w:rPr>
        <w:t>) Les modes d’occupation des différentes communa</w:t>
      </w:r>
      <w:r>
        <w:rPr>
          <w:rFonts w:ascii="Times New Roman" w:hAnsi="Times New Roman" w:cs="Times New Roman"/>
          <w:sz w:val="28"/>
          <w:szCs w:val="28"/>
        </w:rPr>
        <w:t>utés de la C</w:t>
      </w:r>
      <w:r w:rsidRPr="00822766">
        <w:rPr>
          <w:rFonts w:ascii="Times New Roman" w:hAnsi="Times New Roman" w:cs="Times New Roman"/>
          <w:sz w:val="28"/>
          <w:szCs w:val="28"/>
        </w:rPr>
        <w:t>araïbe et du centre- Amérique par les États-Unis.</w:t>
      </w:r>
    </w:p>
    <w:p w:rsidR="00094495" w:rsidRPr="00AE42C2" w:rsidRDefault="00094495" w:rsidP="00094495">
      <w:pPr>
        <w:jc w:val="both"/>
        <w:rPr>
          <w:rFonts w:ascii="Times New Roman" w:hAnsi="Times New Roman" w:cs="Times New Roman"/>
          <w:sz w:val="28"/>
          <w:szCs w:val="28"/>
        </w:rPr>
      </w:pPr>
      <w:r w:rsidRPr="00AE42C2">
        <w:rPr>
          <w:rFonts w:ascii="Times New Roman" w:hAnsi="Times New Roman" w:cs="Times New Roman"/>
          <w:sz w:val="28"/>
          <w:szCs w:val="28"/>
        </w:rPr>
        <w:t>Sous-thème I : La ventilation  et la nature des capitaux nord-américains dans la région.</w:t>
      </w:r>
    </w:p>
    <w:p w:rsidR="00094495" w:rsidRPr="00822766" w:rsidRDefault="00094495" w:rsidP="00094495">
      <w:pPr>
        <w:pStyle w:val="ListParagraph"/>
        <w:jc w:val="both"/>
        <w:rPr>
          <w:rFonts w:ascii="Times New Roman" w:hAnsi="Times New Roman" w:cs="Times New Roman"/>
          <w:sz w:val="28"/>
          <w:szCs w:val="28"/>
        </w:rPr>
      </w:pPr>
    </w:p>
    <w:p w:rsidR="00094495" w:rsidRDefault="00094495" w:rsidP="00094495">
      <w:pPr>
        <w:jc w:val="both"/>
        <w:rPr>
          <w:rFonts w:ascii="Times New Roman" w:hAnsi="Times New Roman" w:cs="Times New Roman"/>
          <w:sz w:val="28"/>
          <w:szCs w:val="28"/>
        </w:rPr>
      </w:pPr>
      <w:r w:rsidRPr="00D34353">
        <w:rPr>
          <w:rFonts w:ascii="Times New Roman" w:hAnsi="Times New Roman" w:cs="Times New Roman"/>
          <w:sz w:val="28"/>
          <w:szCs w:val="28"/>
        </w:rPr>
        <w:t>Sous-thème II : L</w:t>
      </w:r>
      <w:r>
        <w:rPr>
          <w:rFonts w:ascii="Times New Roman" w:hAnsi="Times New Roman" w:cs="Times New Roman"/>
          <w:sz w:val="28"/>
          <w:szCs w:val="28"/>
        </w:rPr>
        <w:t>e rural et l’urbain</w:t>
      </w:r>
    </w:p>
    <w:p w:rsidR="00094495" w:rsidRPr="00D34353" w:rsidRDefault="00094495" w:rsidP="00094495">
      <w:pPr>
        <w:jc w:val="both"/>
        <w:rPr>
          <w:rFonts w:ascii="Times New Roman" w:hAnsi="Times New Roman" w:cs="Times New Roman"/>
          <w:sz w:val="28"/>
          <w:szCs w:val="28"/>
        </w:rPr>
      </w:pPr>
      <w:r>
        <w:rPr>
          <w:rFonts w:ascii="Times New Roman" w:hAnsi="Times New Roman" w:cs="Times New Roman"/>
          <w:sz w:val="28"/>
          <w:szCs w:val="28"/>
        </w:rPr>
        <w:t>Sous</w:t>
      </w:r>
      <w:r w:rsidRPr="00D34353">
        <w:rPr>
          <w:rFonts w:ascii="Times New Roman" w:hAnsi="Times New Roman" w:cs="Times New Roman"/>
          <w:sz w:val="28"/>
          <w:szCs w:val="28"/>
        </w:rPr>
        <w:t>-thème III : Les relations entre Haïti et la République dominicaine durant leur occupation conjointe.</w:t>
      </w:r>
    </w:p>
    <w:p w:rsidR="00094495" w:rsidRPr="00822766" w:rsidRDefault="00094495" w:rsidP="00094495">
      <w:pPr>
        <w:jc w:val="both"/>
        <w:rPr>
          <w:rFonts w:ascii="Times New Roman" w:hAnsi="Times New Roman" w:cs="Times New Roman"/>
          <w:sz w:val="28"/>
          <w:szCs w:val="28"/>
        </w:rPr>
      </w:pPr>
      <w:r w:rsidRPr="00822766">
        <w:rPr>
          <w:rFonts w:ascii="Times New Roman" w:hAnsi="Times New Roman" w:cs="Times New Roman"/>
          <w:sz w:val="28"/>
          <w:szCs w:val="28"/>
        </w:rPr>
        <w:t>Sous-thème I</w:t>
      </w:r>
      <w:r>
        <w:rPr>
          <w:rFonts w:ascii="Times New Roman" w:hAnsi="Times New Roman" w:cs="Times New Roman"/>
          <w:sz w:val="28"/>
          <w:szCs w:val="28"/>
        </w:rPr>
        <w:t>V</w:t>
      </w:r>
      <w:r w:rsidRPr="00822766">
        <w:rPr>
          <w:rFonts w:ascii="Times New Roman" w:hAnsi="Times New Roman" w:cs="Times New Roman"/>
          <w:sz w:val="28"/>
          <w:szCs w:val="28"/>
        </w:rPr>
        <w:t> : La politique migratoire impulsée par les États-Unis dans la région : enjeux / implications</w:t>
      </w:r>
    </w:p>
    <w:p w:rsidR="00094495" w:rsidRPr="00822766" w:rsidRDefault="00094495" w:rsidP="00094495">
      <w:pPr>
        <w:jc w:val="both"/>
        <w:rPr>
          <w:rFonts w:ascii="Times New Roman" w:hAnsi="Times New Roman" w:cs="Times New Roman"/>
          <w:sz w:val="28"/>
          <w:szCs w:val="28"/>
        </w:rPr>
      </w:pPr>
      <w:r>
        <w:rPr>
          <w:rFonts w:ascii="Times New Roman" w:hAnsi="Times New Roman" w:cs="Times New Roman"/>
          <w:sz w:val="28"/>
          <w:szCs w:val="28"/>
        </w:rPr>
        <w:t xml:space="preserve">Sous-thèmes </w:t>
      </w:r>
      <w:r w:rsidRPr="00822766">
        <w:rPr>
          <w:rFonts w:ascii="Times New Roman" w:hAnsi="Times New Roman" w:cs="Times New Roman"/>
          <w:sz w:val="28"/>
          <w:szCs w:val="28"/>
        </w:rPr>
        <w:t>V : Élite et diarchie face à l’occupation</w:t>
      </w:r>
    </w:p>
    <w:p w:rsidR="00094495" w:rsidRDefault="00094495" w:rsidP="00094495">
      <w:pPr>
        <w:jc w:val="both"/>
        <w:rPr>
          <w:rFonts w:ascii="Times New Roman" w:hAnsi="Times New Roman" w:cs="Times New Roman"/>
          <w:sz w:val="28"/>
          <w:szCs w:val="28"/>
        </w:rPr>
      </w:pPr>
    </w:p>
    <w:p w:rsidR="00094495" w:rsidRPr="00D34353" w:rsidRDefault="00094495" w:rsidP="00094495">
      <w:pPr>
        <w:jc w:val="both"/>
        <w:rPr>
          <w:rFonts w:ascii="Times New Roman" w:hAnsi="Times New Roman" w:cs="Times New Roman"/>
          <w:sz w:val="28"/>
          <w:szCs w:val="28"/>
        </w:rPr>
      </w:pPr>
      <w:r>
        <w:rPr>
          <w:rFonts w:ascii="Times New Roman" w:hAnsi="Times New Roman" w:cs="Times New Roman"/>
          <w:sz w:val="28"/>
          <w:szCs w:val="28"/>
        </w:rPr>
        <w:t>C</w:t>
      </w:r>
      <w:r w:rsidRPr="00D34353">
        <w:rPr>
          <w:rFonts w:ascii="Times New Roman" w:hAnsi="Times New Roman" w:cs="Times New Roman"/>
          <w:sz w:val="28"/>
          <w:szCs w:val="28"/>
        </w:rPr>
        <w:t xml:space="preserve">) </w:t>
      </w:r>
      <w:r>
        <w:rPr>
          <w:rFonts w:ascii="Times New Roman" w:hAnsi="Times New Roman" w:cs="Times New Roman"/>
          <w:sz w:val="28"/>
          <w:szCs w:val="28"/>
        </w:rPr>
        <w:t>Occupation et résistance</w:t>
      </w:r>
      <w:r w:rsidRPr="00D34353">
        <w:rPr>
          <w:rFonts w:ascii="Times New Roman" w:hAnsi="Times New Roman" w:cs="Times New Roman"/>
          <w:sz w:val="28"/>
          <w:szCs w:val="28"/>
        </w:rPr>
        <w:t xml:space="preserve"> </w:t>
      </w:r>
    </w:p>
    <w:p w:rsidR="00094495" w:rsidRPr="00822766" w:rsidRDefault="00094495" w:rsidP="00094495">
      <w:pPr>
        <w:pStyle w:val="ListParagraph"/>
        <w:ind w:left="1080"/>
        <w:jc w:val="both"/>
        <w:rPr>
          <w:rFonts w:ascii="Times New Roman" w:hAnsi="Times New Roman" w:cs="Times New Roman"/>
          <w:sz w:val="28"/>
          <w:szCs w:val="28"/>
        </w:rPr>
      </w:pPr>
    </w:p>
    <w:p w:rsidR="00094495" w:rsidRPr="00531A44" w:rsidRDefault="00094495" w:rsidP="00094495">
      <w:pPr>
        <w:jc w:val="both"/>
        <w:rPr>
          <w:rFonts w:ascii="Times New Roman" w:hAnsi="Times New Roman" w:cs="Times New Roman"/>
          <w:sz w:val="28"/>
          <w:szCs w:val="28"/>
        </w:rPr>
      </w:pPr>
      <w:r w:rsidRPr="00531A44">
        <w:rPr>
          <w:rFonts w:ascii="Times New Roman" w:hAnsi="Times New Roman" w:cs="Times New Roman"/>
          <w:sz w:val="28"/>
          <w:szCs w:val="28"/>
        </w:rPr>
        <w:t>Sous-thème I : Les mutations socioculturelles durant et après l’occupation</w:t>
      </w:r>
    </w:p>
    <w:p w:rsidR="00094495" w:rsidRDefault="00094495" w:rsidP="00094495">
      <w:pPr>
        <w:jc w:val="both"/>
        <w:rPr>
          <w:rFonts w:ascii="Times New Roman" w:hAnsi="Times New Roman" w:cs="Times New Roman"/>
          <w:sz w:val="28"/>
          <w:szCs w:val="28"/>
        </w:rPr>
      </w:pPr>
    </w:p>
    <w:p w:rsidR="00094495" w:rsidRPr="00822766" w:rsidRDefault="00094495" w:rsidP="00094495">
      <w:pPr>
        <w:jc w:val="both"/>
        <w:rPr>
          <w:rFonts w:ascii="Times New Roman" w:hAnsi="Times New Roman" w:cs="Times New Roman"/>
          <w:sz w:val="28"/>
          <w:szCs w:val="28"/>
        </w:rPr>
      </w:pPr>
      <w:r w:rsidRPr="00822766">
        <w:rPr>
          <w:rFonts w:ascii="Times New Roman" w:hAnsi="Times New Roman" w:cs="Times New Roman"/>
          <w:sz w:val="28"/>
          <w:szCs w:val="28"/>
        </w:rPr>
        <w:t>Sous-thème II : La politique éducative en Haïti durant l’occupation</w:t>
      </w:r>
    </w:p>
    <w:p w:rsidR="00094495" w:rsidRDefault="00094495" w:rsidP="00094495">
      <w:pPr>
        <w:jc w:val="both"/>
        <w:rPr>
          <w:rFonts w:ascii="Times New Roman" w:hAnsi="Times New Roman" w:cs="Times New Roman"/>
          <w:sz w:val="28"/>
          <w:szCs w:val="28"/>
        </w:rPr>
      </w:pPr>
    </w:p>
    <w:p w:rsidR="00094495" w:rsidRPr="00822766" w:rsidRDefault="00094495" w:rsidP="00094495">
      <w:pPr>
        <w:jc w:val="both"/>
        <w:rPr>
          <w:rFonts w:ascii="Times New Roman" w:eastAsiaTheme="minorHAnsi" w:hAnsi="Times New Roman" w:cs="Times New Roman"/>
          <w:sz w:val="28"/>
          <w:szCs w:val="28"/>
          <w:lang w:eastAsia="ja-JP"/>
        </w:rPr>
      </w:pPr>
      <w:r w:rsidRPr="00822766">
        <w:rPr>
          <w:rFonts w:ascii="Times New Roman" w:hAnsi="Times New Roman" w:cs="Times New Roman"/>
          <w:sz w:val="28"/>
          <w:szCs w:val="28"/>
        </w:rPr>
        <w:t>Sous-thème III : L</w:t>
      </w:r>
      <w:r>
        <w:rPr>
          <w:rFonts w:ascii="Times New Roman" w:hAnsi="Times New Roman" w:cs="Times New Roman"/>
          <w:sz w:val="28"/>
          <w:szCs w:val="28"/>
        </w:rPr>
        <w:t>a question paysanne</w:t>
      </w:r>
    </w:p>
    <w:p w:rsidR="00094495" w:rsidRPr="00822766" w:rsidRDefault="00094495" w:rsidP="00094495">
      <w:pPr>
        <w:jc w:val="both"/>
        <w:rPr>
          <w:rFonts w:ascii="Times New Roman" w:eastAsiaTheme="minorHAnsi" w:hAnsi="Times New Roman" w:cs="Times New Roman"/>
          <w:sz w:val="28"/>
          <w:szCs w:val="28"/>
          <w:lang w:eastAsia="ja-JP"/>
        </w:rPr>
      </w:pPr>
    </w:p>
    <w:p w:rsidR="00094495" w:rsidRDefault="00094495" w:rsidP="00094495">
      <w:pPr>
        <w:jc w:val="both"/>
        <w:rPr>
          <w:rFonts w:ascii="Times New Roman" w:eastAsiaTheme="minorHAnsi" w:hAnsi="Times New Roman" w:cs="Times New Roman"/>
          <w:b/>
          <w:i/>
          <w:sz w:val="28"/>
          <w:szCs w:val="28"/>
          <w:lang w:eastAsia="ja-JP"/>
        </w:rPr>
      </w:pPr>
    </w:p>
    <w:p w:rsidR="00094495" w:rsidRDefault="00094495" w:rsidP="00094495">
      <w:pPr>
        <w:jc w:val="both"/>
        <w:rPr>
          <w:rFonts w:ascii="Times New Roman" w:eastAsiaTheme="minorHAnsi" w:hAnsi="Times New Roman" w:cs="Times New Roman"/>
          <w:b/>
          <w:i/>
          <w:sz w:val="28"/>
          <w:szCs w:val="28"/>
          <w:lang w:eastAsia="ja-JP"/>
        </w:rPr>
      </w:pPr>
    </w:p>
    <w:p w:rsidR="00094495" w:rsidRPr="00AE42C2" w:rsidRDefault="00094495" w:rsidP="00094495">
      <w:pPr>
        <w:jc w:val="both"/>
        <w:rPr>
          <w:rFonts w:ascii="Times New Roman" w:eastAsiaTheme="minorHAnsi" w:hAnsi="Times New Roman" w:cs="Times New Roman"/>
          <w:b/>
          <w:i/>
          <w:sz w:val="28"/>
          <w:szCs w:val="28"/>
          <w:lang w:eastAsia="ja-JP"/>
        </w:rPr>
      </w:pPr>
      <w:r>
        <w:rPr>
          <w:rFonts w:ascii="Times New Roman" w:eastAsiaTheme="minorHAnsi" w:hAnsi="Times New Roman" w:cs="Times New Roman"/>
          <w:b/>
          <w:i/>
          <w:sz w:val="28"/>
          <w:szCs w:val="28"/>
          <w:lang w:eastAsia="ja-JP"/>
        </w:rPr>
        <w:lastRenderedPageBreak/>
        <w:t>7.</w:t>
      </w:r>
      <w:r w:rsidRPr="00AE42C2">
        <w:rPr>
          <w:rFonts w:ascii="Times New Roman" w:eastAsiaTheme="minorHAnsi" w:hAnsi="Times New Roman" w:cs="Times New Roman"/>
          <w:b/>
          <w:i/>
          <w:sz w:val="28"/>
          <w:szCs w:val="28"/>
          <w:lang w:eastAsia="ja-JP"/>
        </w:rPr>
        <w:t xml:space="preserve"> Comité scientifique</w:t>
      </w:r>
    </w:p>
    <w:p w:rsidR="00094495" w:rsidRDefault="00094495" w:rsidP="00094495">
      <w:pPr>
        <w:jc w:val="both"/>
        <w:rPr>
          <w:rFonts w:ascii="Times New Roman" w:eastAsiaTheme="minorHAnsi" w:hAnsi="Times New Roman" w:cs="Times New Roman"/>
          <w:sz w:val="28"/>
          <w:szCs w:val="28"/>
          <w:lang w:eastAsia="ja-JP"/>
        </w:rPr>
      </w:pPr>
      <w:r>
        <w:rPr>
          <w:rFonts w:ascii="Times New Roman" w:eastAsiaTheme="minorHAnsi" w:hAnsi="Times New Roman" w:cs="Times New Roman"/>
          <w:sz w:val="28"/>
          <w:szCs w:val="28"/>
          <w:lang w:eastAsia="ja-JP"/>
        </w:rPr>
        <w:t xml:space="preserve">Michel Hector, Gaétan Mentor, Michel Acacia, </w:t>
      </w:r>
      <w:proofErr w:type="spellStart"/>
      <w:r>
        <w:rPr>
          <w:rFonts w:ascii="Times New Roman" w:eastAsiaTheme="minorHAnsi" w:hAnsi="Times New Roman" w:cs="Times New Roman"/>
          <w:sz w:val="28"/>
          <w:szCs w:val="28"/>
          <w:lang w:eastAsia="ja-JP"/>
        </w:rPr>
        <w:t>Laënnec</w:t>
      </w:r>
      <w:proofErr w:type="spellEnd"/>
      <w:r>
        <w:rPr>
          <w:rFonts w:ascii="Times New Roman" w:eastAsiaTheme="minorHAnsi" w:hAnsi="Times New Roman" w:cs="Times New Roman"/>
          <w:sz w:val="28"/>
          <w:szCs w:val="28"/>
          <w:lang w:eastAsia="ja-JP"/>
        </w:rPr>
        <w:t xml:space="preserve"> </w:t>
      </w:r>
      <w:proofErr w:type="spellStart"/>
      <w:r>
        <w:rPr>
          <w:rFonts w:ascii="Times New Roman" w:eastAsiaTheme="minorHAnsi" w:hAnsi="Times New Roman" w:cs="Times New Roman"/>
          <w:sz w:val="28"/>
          <w:szCs w:val="28"/>
          <w:lang w:eastAsia="ja-JP"/>
        </w:rPr>
        <w:t>Hurbon</w:t>
      </w:r>
      <w:proofErr w:type="spellEnd"/>
      <w:r>
        <w:rPr>
          <w:rFonts w:ascii="Times New Roman" w:eastAsiaTheme="minorHAnsi" w:hAnsi="Times New Roman" w:cs="Times New Roman"/>
          <w:sz w:val="28"/>
          <w:szCs w:val="28"/>
          <w:lang w:eastAsia="ja-JP"/>
        </w:rPr>
        <w:t xml:space="preserve">, Jean Casimir, Cary Hector, Watson Denis, Pierre </w:t>
      </w:r>
      <w:proofErr w:type="spellStart"/>
      <w:r>
        <w:rPr>
          <w:rFonts w:ascii="Times New Roman" w:eastAsiaTheme="minorHAnsi" w:hAnsi="Times New Roman" w:cs="Times New Roman"/>
          <w:sz w:val="28"/>
          <w:szCs w:val="28"/>
          <w:lang w:eastAsia="ja-JP"/>
        </w:rPr>
        <w:t>Buteau</w:t>
      </w:r>
      <w:proofErr w:type="spellEnd"/>
      <w:r>
        <w:rPr>
          <w:rFonts w:ascii="Times New Roman" w:eastAsiaTheme="minorHAnsi" w:hAnsi="Times New Roman" w:cs="Times New Roman"/>
          <w:sz w:val="28"/>
          <w:szCs w:val="28"/>
          <w:lang w:eastAsia="ja-JP"/>
        </w:rPr>
        <w:t xml:space="preserve">, </w:t>
      </w:r>
      <w:proofErr w:type="spellStart"/>
      <w:r>
        <w:rPr>
          <w:rFonts w:ascii="Times New Roman" w:eastAsiaTheme="minorHAnsi" w:hAnsi="Times New Roman" w:cs="Times New Roman"/>
          <w:sz w:val="28"/>
          <w:szCs w:val="28"/>
          <w:lang w:eastAsia="ja-JP"/>
        </w:rPr>
        <w:t>Gusti</w:t>
      </w:r>
      <w:proofErr w:type="spellEnd"/>
      <w:r>
        <w:rPr>
          <w:rFonts w:ascii="Times New Roman" w:eastAsiaTheme="minorHAnsi" w:hAnsi="Times New Roman" w:cs="Times New Roman"/>
          <w:sz w:val="28"/>
          <w:szCs w:val="28"/>
          <w:lang w:eastAsia="ja-JP"/>
        </w:rPr>
        <w:t xml:space="preserve"> </w:t>
      </w:r>
      <w:proofErr w:type="spellStart"/>
      <w:r>
        <w:rPr>
          <w:rFonts w:ascii="Times New Roman" w:eastAsiaTheme="minorHAnsi" w:hAnsi="Times New Roman" w:cs="Times New Roman"/>
          <w:sz w:val="28"/>
          <w:szCs w:val="28"/>
          <w:lang w:eastAsia="ja-JP"/>
        </w:rPr>
        <w:t>Klara</w:t>
      </w:r>
      <w:proofErr w:type="spellEnd"/>
      <w:r>
        <w:rPr>
          <w:rFonts w:ascii="Times New Roman" w:eastAsiaTheme="minorHAnsi" w:hAnsi="Times New Roman" w:cs="Times New Roman"/>
          <w:sz w:val="28"/>
          <w:szCs w:val="28"/>
          <w:lang w:eastAsia="ja-JP"/>
        </w:rPr>
        <w:t xml:space="preserve"> Gaillard </w:t>
      </w:r>
      <w:proofErr w:type="spellStart"/>
      <w:r>
        <w:rPr>
          <w:rFonts w:ascii="Times New Roman" w:eastAsiaTheme="minorHAnsi" w:hAnsi="Times New Roman" w:cs="Times New Roman"/>
          <w:sz w:val="28"/>
          <w:szCs w:val="28"/>
          <w:lang w:eastAsia="ja-JP"/>
        </w:rPr>
        <w:t>Pourchet</w:t>
      </w:r>
      <w:proofErr w:type="spellEnd"/>
      <w:r>
        <w:rPr>
          <w:rFonts w:ascii="Times New Roman" w:eastAsiaTheme="minorHAnsi" w:hAnsi="Times New Roman" w:cs="Times New Roman"/>
          <w:sz w:val="28"/>
          <w:szCs w:val="28"/>
          <w:lang w:eastAsia="ja-JP"/>
        </w:rPr>
        <w:t xml:space="preserve">, Suzy Castor, Lewis </w:t>
      </w:r>
      <w:proofErr w:type="spellStart"/>
      <w:r>
        <w:rPr>
          <w:rFonts w:ascii="Times New Roman" w:eastAsiaTheme="minorHAnsi" w:hAnsi="Times New Roman" w:cs="Times New Roman"/>
          <w:sz w:val="28"/>
          <w:szCs w:val="28"/>
          <w:lang w:eastAsia="ja-JP"/>
        </w:rPr>
        <w:t>Ampidu</w:t>
      </w:r>
      <w:proofErr w:type="spellEnd"/>
      <w:r>
        <w:rPr>
          <w:rFonts w:ascii="Times New Roman" w:eastAsiaTheme="minorHAnsi" w:hAnsi="Times New Roman" w:cs="Times New Roman"/>
          <w:sz w:val="28"/>
          <w:szCs w:val="28"/>
          <w:lang w:eastAsia="ja-JP"/>
        </w:rPr>
        <w:t xml:space="preserve"> </w:t>
      </w:r>
      <w:proofErr w:type="spellStart"/>
      <w:r>
        <w:rPr>
          <w:rFonts w:ascii="Times New Roman" w:eastAsiaTheme="minorHAnsi" w:hAnsi="Times New Roman" w:cs="Times New Roman"/>
          <w:sz w:val="28"/>
          <w:szCs w:val="28"/>
          <w:lang w:eastAsia="ja-JP"/>
        </w:rPr>
        <w:t>Clorméus</w:t>
      </w:r>
      <w:proofErr w:type="spellEnd"/>
      <w:r>
        <w:rPr>
          <w:rFonts w:ascii="Times New Roman" w:eastAsiaTheme="minorHAnsi" w:hAnsi="Times New Roman" w:cs="Times New Roman"/>
          <w:sz w:val="28"/>
          <w:szCs w:val="28"/>
          <w:lang w:eastAsia="ja-JP"/>
        </w:rPr>
        <w:t>.</w:t>
      </w:r>
    </w:p>
    <w:p w:rsidR="00094495" w:rsidRDefault="00094495" w:rsidP="00094495">
      <w:pPr>
        <w:jc w:val="both"/>
        <w:rPr>
          <w:rFonts w:ascii="Times New Roman" w:eastAsiaTheme="minorHAnsi" w:hAnsi="Times New Roman" w:cs="Times New Roman"/>
          <w:sz w:val="28"/>
          <w:szCs w:val="28"/>
          <w:lang w:eastAsia="ja-JP"/>
        </w:rPr>
      </w:pPr>
    </w:p>
    <w:p w:rsidR="00094495" w:rsidRPr="00003D49" w:rsidRDefault="00094495" w:rsidP="00094495">
      <w:pPr>
        <w:jc w:val="both"/>
        <w:rPr>
          <w:rFonts w:ascii="Times New Roman" w:eastAsiaTheme="minorHAnsi" w:hAnsi="Times New Roman" w:cs="Times New Roman"/>
          <w:b/>
          <w:i/>
          <w:sz w:val="28"/>
          <w:szCs w:val="28"/>
          <w:lang w:eastAsia="ja-JP"/>
        </w:rPr>
      </w:pPr>
      <w:r w:rsidRPr="00003D49">
        <w:rPr>
          <w:rFonts w:ascii="Times New Roman" w:eastAsiaTheme="minorHAnsi" w:hAnsi="Times New Roman" w:cs="Times New Roman"/>
          <w:b/>
          <w:i/>
          <w:sz w:val="28"/>
          <w:szCs w:val="28"/>
          <w:lang w:eastAsia="ja-JP"/>
        </w:rPr>
        <w:t>8. Dates importantes à retenir :</w:t>
      </w:r>
    </w:p>
    <w:p w:rsidR="00094495" w:rsidRDefault="00094495" w:rsidP="00094495">
      <w:pPr>
        <w:rPr>
          <w:rFonts w:ascii="Times New Roman" w:eastAsiaTheme="minorHAnsi" w:hAnsi="Times New Roman" w:cs="Times New Roman"/>
          <w:i/>
          <w:sz w:val="28"/>
          <w:szCs w:val="28"/>
          <w:lang w:eastAsia="ja-JP"/>
        </w:rPr>
      </w:pPr>
      <w:r>
        <w:rPr>
          <w:rFonts w:ascii="Times New Roman" w:eastAsiaTheme="minorHAnsi" w:hAnsi="Times New Roman" w:cs="Times New Roman"/>
          <w:i/>
          <w:sz w:val="28"/>
          <w:szCs w:val="28"/>
          <w:lang w:eastAsia="ja-JP"/>
        </w:rPr>
        <w:t>Manifestation d’intérêt : au plus tard le 15 septembre 2016</w:t>
      </w:r>
    </w:p>
    <w:p w:rsidR="00094495" w:rsidRDefault="00094495" w:rsidP="00094495">
      <w:pPr>
        <w:rPr>
          <w:rFonts w:ascii="Times New Roman" w:eastAsiaTheme="minorHAnsi" w:hAnsi="Times New Roman" w:cs="Times New Roman"/>
          <w:sz w:val="28"/>
          <w:szCs w:val="28"/>
          <w:lang w:eastAsia="ja-JP"/>
        </w:rPr>
      </w:pPr>
      <w:r>
        <w:rPr>
          <w:rFonts w:ascii="Times New Roman" w:eastAsiaTheme="minorHAnsi" w:hAnsi="Times New Roman" w:cs="Times New Roman"/>
          <w:i/>
          <w:sz w:val="28"/>
          <w:szCs w:val="28"/>
          <w:lang w:eastAsia="ja-JP"/>
        </w:rPr>
        <w:t>Soumission des résumés des propositions : 30 septembre 2016</w:t>
      </w:r>
    </w:p>
    <w:p w:rsidR="00094495" w:rsidRPr="00003D49" w:rsidRDefault="00094495" w:rsidP="00094495">
      <w:pPr>
        <w:rPr>
          <w:rFonts w:ascii="Times New Roman" w:eastAsiaTheme="minorHAnsi" w:hAnsi="Times New Roman" w:cs="Times New Roman"/>
          <w:sz w:val="28"/>
          <w:szCs w:val="28"/>
          <w:lang w:eastAsia="ja-JP"/>
        </w:rPr>
      </w:pPr>
    </w:p>
    <w:p w:rsidR="00094495" w:rsidRPr="00AE42C2" w:rsidRDefault="00094495" w:rsidP="00094495">
      <w:pPr>
        <w:jc w:val="both"/>
        <w:rPr>
          <w:rFonts w:ascii="Times New Roman" w:eastAsiaTheme="minorHAnsi" w:hAnsi="Times New Roman" w:cs="Times New Roman"/>
          <w:b/>
          <w:i/>
          <w:sz w:val="28"/>
          <w:szCs w:val="28"/>
          <w:lang w:eastAsia="ja-JP"/>
        </w:rPr>
      </w:pPr>
      <w:r>
        <w:rPr>
          <w:rFonts w:ascii="Times New Roman" w:eastAsiaTheme="minorHAnsi" w:hAnsi="Times New Roman" w:cs="Times New Roman"/>
          <w:b/>
          <w:i/>
          <w:sz w:val="28"/>
          <w:szCs w:val="28"/>
          <w:lang w:eastAsia="ja-JP"/>
        </w:rPr>
        <w:t>9.</w:t>
      </w:r>
      <w:r w:rsidRPr="00AE42C2">
        <w:rPr>
          <w:rFonts w:ascii="Times New Roman" w:eastAsiaTheme="minorHAnsi" w:hAnsi="Times New Roman" w:cs="Times New Roman"/>
          <w:b/>
          <w:i/>
          <w:sz w:val="28"/>
          <w:szCs w:val="28"/>
          <w:lang w:eastAsia="ja-JP"/>
        </w:rPr>
        <w:t xml:space="preserve"> Correspondances</w:t>
      </w:r>
    </w:p>
    <w:p w:rsidR="00BA2FBD" w:rsidRDefault="002D388C" w:rsidP="00094495">
      <w:pPr>
        <w:jc w:val="both"/>
        <w:rPr>
          <w:rFonts w:ascii="Times New Roman" w:eastAsiaTheme="minorHAnsi" w:hAnsi="Times New Roman" w:cs="Times New Roman"/>
          <w:sz w:val="28"/>
          <w:szCs w:val="28"/>
          <w:lang w:eastAsia="ja-JP"/>
        </w:rPr>
      </w:pPr>
      <w:hyperlink r:id="rId6" w:history="1">
        <w:r w:rsidR="00094495" w:rsidRPr="00E758EC">
          <w:rPr>
            <w:rStyle w:val="Hyperlink"/>
            <w:rFonts w:ascii="Times New Roman" w:eastAsiaTheme="minorHAnsi" w:hAnsi="Times New Roman" w:cs="Times New Roman"/>
            <w:sz w:val="28"/>
            <w:szCs w:val="28"/>
            <w:lang w:eastAsia="ja-JP"/>
          </w:rPr>
          <w:t>Shhgg1923@yahoo.fr</w:t>
        </w:r>
      </w:hyperlink>
    </w:p>
    <w:p w:rsidR="00094495" w:rsidRPr="00094495" w:rsidRDefault="00094495" w:rsidP="00094495">
      <w:pPr>
        <w:jc w:val="both"/>
        <w:rPr>
          <w:rFonts w:ascii="Times New Roman" w:eastAsiaTheme="minorHAnsi" w:hAnsi="Times New Roman" w:cs="Times New Roman"/>
          <w:sz w:val="28"/>
          <w:szCs w:val="28"/>
          <w:lang w:eastAsia="ja-JP"/>
        </w:rPr>
      </w:pPr>
      <w:bookmarkStart w:id="0" w:name="_GoBack"/>
      <w:bookmarkEnd w:id="0"/>
    </w:p>
    <w:sectPr w:rsidR="00094495" w:rsidRPr="00094495" w:rsidSect="00F029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9C3"/>
    <w:multiLevelType w:val="hybridMultilevel"/>
    <w:tmpl w:val="25D2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692FCA"/>
    <w:multiLevelType w:val="hybridMultilevel"/>
    <w:tmpl w:val="F7680CEE"/>
    <w:lvl w:ilvl="0" w:tplc="24090011">
      <w:start w:val="1"/>
      <w:numFmt w:val="decimal"/>
      <w:lvlText w:val="%1)"/>
      <w:lvlJc w:val="left"/>
      <w:pPr>
        <w:ind w:left="1800" w:hanging="360"/>
      </w:pPr>
      <w:rPr>
        <w:rFonts w:hint="default"/>
      </w:rPr>
    </w:lvl>
    <w:lvl w:ilvl="1" w:tplc="24090019">
      <w:start w:val="1"/>
      <w:numFmt w:val="lowerLetter"/>
      <w:lvlText w:val="%2."/>
      <w:lvlJc w:val="left"/>
      <w:pPr>
        <w:ind w:left="2520" w:hanging="360"/>
      </w:pPr>
    </w:lvl>
    <w:lvl w:ilvl="2" w:tplc="6F5A4676">
      <w:start w:val="3"/>
      <w:numFmt w:val="decimal"/>
      <w:lvlText w:val="%3."/>
      <w:lvlJc w:val="left"/>
      <w:pPr>
        <w:ind w:left="3420" w:hanging="360"/>
      </w:pPr>
      <w:rPr>
        <w:rFonts w:hint="default"/>
      </w:rPr>
    </w:lvl>
    <w:lvl w:ilvl="3" w:tplc="2409000F" w:tentative="1">
      <w:start w:val="1"/>
      <w:numFmt w:val="decimal"/>
      <w:lvlText w:val="%4."/>
      <w:lvlJc w:val="left"/>
      <w:pPr>
        <w:ind w:left="3960" w:hanging="360"/>
      </w:pPr>
    </w:lvl>
    <w:lvl w:ilvl="4" w:tplc="24090019" w:tentative="1">
      <w:start w:val="1"/>
      <w:numFmt w:val="lowerLetter"/>
      <w:lvlText w:val="%5."/>
      <w:lvlJc w:val="left"/>
      <w:pPr>
        <w:ind w:left="4680" w:hanging="360"/>
      </w:pPr>
    </w:lvl>
    <w:lvl w:ilvl="5" w:tplc="2409001B" w:tentative="1">
      <w:start w:val="1"/>
      <w:numFmt w:val="lowerRoman"/>
      <w:lvlText w:val="%6."/>
      <w:lvlJc w:val="right"/>
      <w:pPr>
        <w:ind w:left="5400" w:hanging="180"/>
      </w:pPr>
    </w:lvl>
    <w:lvl w:ilvl="6" w:tplc="2409000F" w:tentative="1">
      <w:start w:val="1"/>
      <w:numFmt w:val="decimal"/>
      <w:lvlText w:val="%7."/>
      <w:lvlJc w:val="left"/>
      <w:pPr>
        <w:ind w:left="6120" w:hanging="360"/>
      </w:pPr>
    </w:lvl>
    <w:lvl w:ilvl="7" w:tplc="24090019" w:tentative="1">
      <w:start w:val="1"/>
      <w:numFmt w:val="lowerLetter"/>
      <w:lvlText w:val="%8."/>
      <w:lvlJc w:val="left"/>
      <w:pPr>
        <w:ind w:left="6840" w:hanging="360"/>
      </w:pPr>
    </w:lvl>
    <w:lvl w:ilvl="8" w:tplc="2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94495"/>
    <w:rsid w:val="00094495"/>
    <w:rsid w:val="001E648D"/>
    <w:rsid w:val="002D388C"/>
    <w:rsid w:val="00BA2F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95"/>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495"/>
    <w:pPr>
      <w:ind w:left="720"/>
      <w:contextualSpacing/>
    </w:pPr>
  </w:style>
  <w:style w:type="paragraph" w:styleId="BalloonText">
    <w:name w:val="Balloon Text"/>
    <w:basedOn w:val="Normal"/>
    <w:link w:val="BalloonTextChar"/>
    <w:uiPriority w:val="99"/>
    <w:semiHidden/>
    <w:unhideWhenUsed/>
    <w:rsid w:val="00094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495"/>
    <w:rPr>
      <w:rFonts w:ascii="Tahoma" w:eastAsia="MS Mincho" w:hAnsi="Tahoma" w:cs="Tahoma"/>
      <w:sz w:val="16"/>
      <w:szCs w:val="16"/>
    </w:rPr>
  </w:style>
  <w:style w:type="character" w:styleId="Hyperlink">
    <w:name w:val="Hyperlink"/>
    <w:basedOn w:val="DefaultParagraphFont"/>
    <w:uiPriority w:val="99"/>
    <w:unhideWhenUsed/>
    <w:rsid w:val="000944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95"/>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495"/>
    <w:pPr>
      <w:ind w:left="720"/>
      <w:contextualSpacing/>
    </w:pPr>
  </w:style>
  <w:style w:type="paragraph" w:styleId="BalloonText">
    <w:name w:val="Balloon Text"/>
    <w:basedOn w:val="Normal"/>
    <w:link w:val="BalloonTextChar"/>
    <w:uiPriority w:val="99"/>
    <w:semiHidden/>
    <w:unhideWhenUsed/>
    <w:rsid w:val="00094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495"/>
    <w:rPr>
      <w:rFonts w:ascii="Tahoma" w:eastAsia="MS Mincho" w:hAnsi="Tahoma" w:cs="Tahoma"/>
      <w:sz w:val="16"/>
      <w:szCs w:val="16"/>
    </w:rPr>
  </w:style>
  <w:style w:type="character" w:styleId="Hyperlink">
    <w:name w:val="Hyperlink"/>
    <w:basedOn w:val="DefaultParagraphFont"/>
    <w:uiPriority w:val="99"/>
    <w:unhideWhenUsed/>
    <w:rsid w:val="000944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hgg1923@yahoo.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2016-09-15T05:42:00Z</dcterms:created>
  <dcterms:modified xsi:type="dcterms:W3CDTF">2016-09-15T05:42:00Z</dcterms:modified>
</cp:coreProperties>
</file>